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Judgment on appeal</w:t>
      </w:r>
    </w:p>
    <w:p>
      <w:pPr>
        <w:jc w:val="both"/>
        <w:spacing w:before="100" w:after="100"/>
        <w:ind w:start="360"/>
        <w:ind w:firstLine="360"/>
      </w:pPr>
      <w:r>
        <w:rPr/>
      </w:r>
      <w:r>
        <w:rPr/>
      </w:r>
      <w:r>
        <w:t xml:space="preserve">If the judgment of the commissioners in favor of laying out, grading or altering a way, as prayed for, is wholly reversed on appeal, they shall proceed no further. In all cases when the judgment of the commissioners is reversed on appeal, no petition praying substantially for the same thing shall be entertained by them for 2 years thereafter.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provided for in </w:t>
      </w:r>
      <w:r>
        <w:t>section 2064</w:t>
      </w:r>
      <w:r>
        <w:t xml:space="preserve"> shall be allowed a reasonable compensation for their services, to be fixed by the court upon the presentation of their report and paid from the county treasury upon the certificate of the clerk of courts. The costs allowed the prevailing party and the fees of the committee shall be collected as provided in </w:t>
      </w:r>
      <w:r>
        <w:t>section 2053</w:t>
      </w:r>
      <w:r>
        <w:t xml:space="preserve">. This section shall not apply to any case where the judgment has been reversed on account of informality in the proceedings.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§2065. Judgment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Judgment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§2065. JUDGMENT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