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w:t>
        <w:t xml:space="preserve">.  </w:t>
      </w:r>
      <w:r>
        <w:rPr>
          <w:b/>
        </w:rPr>
        <w:t xml:space="preserve">Limitation</w:t>
      </w:r>
    </w:p>
    <w:p>
      <w:pPr>
        <w:jc w:val="both"/>
        <w:spacing w:before="100" w:after="100"/>
        <w:ind w:start="360"/>
        <w:ind w:firstLine="360"/>
      </w:pPr>
      <w:r>
        <w:rPr/>
      </w:r>
      <w:r>
        <w:rPr/>
      </w:r>
      <w:r>
        <w:t xml:space="preserve">Nothing contained in this subchapter shall be construed as creating in any eminent domain proceeding an element of damages not in existence on the date of enactment hereof.</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w:pPr>
        <w:jc w:val="both"/>
        <w:spacing w:before="100" w:after="100"/>
        <w:ind w:start="360"/>
        <w:ind w:firstLine="360"/>
      </w:pPr>
      <w:r>
        <w:rPr/>
      </w:r>
      <w:r>
        <w:rPr/>
      </w:r>
      <w:r>
        <w:t xml:space="preserve">Any payments authorized under this subchapter and received by a displaced person shall not be considered income for purposes under the Internal Revenue Code, or resources of any recipient of public assistance.</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§247.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§247.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