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Commercial enterprises prohibited</w:t>
      </w:r>
    </w:p>
    <w:p>
      <w:pPr>
        <w:jc w:val="both"/>
        <w:spacing w:before="100" w:after="100"/>
        <w:ind w:start="360"/>
        <w:ind w:firstLine="360"/>
      </w:pPr>
      <w:r>
        <w:rPr/>
      </w:r>
      <w:r>
        <w:rPr/>
      </w:r>
      <w:r>
        <w:t xml:space="preserve">No commercial enterprise or activity shall be authorized or conducted by the department or any agency or officer of the State within or on the property or right-of-way acquired for any controlled access highway under this chapter, except that the department may permit the erection or installation of electric power, telegraph, telephone or pipe line facilities within the controlled area.</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Commercial enterprises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§304. COMMERCIAL ENTERPRISES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