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Guideposts at crossings</w:t>
      </w:r>
    </w:p>
    <w:p>
      <w:pPr>
        <w:jc w:val="both"/>
        <w:spacing w:before="100" w:after="100"/>
        <w:ind w:start="360"/>
        <w:ind w:firstLine="360"/>
      </w:pPr>
      <w:r>
        <w:rPr/>
      </w:r>
      <w:r>
        <w:rPr/>
      </w:r>
      <w:r>
        <w:t xml:space="preserve">Towns shall erect and maintain at all crossings of highways, and where one public highway enters another, guideposts and guideboards indicating the name of the next town on the route and of such other place as the municipal officers direct, with the number of miles thereto. Such guideposts and guideboards shall be of such reasonable form, height and design as the Department of Transportation may direct; and for any neglect hereof towns are subject to a fine of not less than $10 nor more than $50, to be recovered by complaint or indictment.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District Court shall have jurisdiction concurrent with the Superior Court. Of all fines provided for by this section, and recovered on complaint, 1/2 shall go to the prosecutor and 1/2 to the county where the town committing the offense is situated.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Guideposts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Guideposts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§3301. GUIDEPOSTS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