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A. Moratorium resto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A. Moratorium resto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1-A. MORATORIUM RESTO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