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No new petition for one year</w:t>
      </w:r>
    </w:p>
    <w:p>
      <w:pPr>
        <w:jc w:val="both"/>
        <w:spacing w:before="100" w:after="100"/>
        <w:ind w:start="360"/>
        <w:ind w:firstLine="360"/>
      </w:pPr>
      <w:r>
        <w:rPr/>
      </w:r>
      <w:r>
        <w:rPr/>
      </w:r>
      <w:r>
        <w:t xml:space="preserve">If the final decision of the commissioners or of the committee is against the prayer of the petition provided for in </w:t>
      </w:r>
      <w:r>
        <w:t>section 4001</w:t>
      </w:r>
      <w:r>
        <w:t xml:space="preserve">, no new petition for the same road shall be entertained by the commissioners for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No new petition for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No new petition for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§4003. NO NEW PETITION FOR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