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4210-A</w:t>
        <w:t xml:space="preserve">.  </w:t>
      </w:r>
      <w:r>
        <w:rPr>
          <w:b/>
        </w:rPr>
        <w:t xml:space="preserve">Payment for cost of relocating utility facilities underground in federally designated historic districts on federal aid highways</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in the course of delivering the federal surface transportation program, 23 United States Code, Section 133 (2005) may reimburse a National Register Historic District or the community in which the National Register Historic District is located for the portion of the cost to move or relocate overhead utilities underground to the extent that such payments by the department are eligible for reimbursement under the federal surface transportation program pursuant to 23 United States Code, Section 133(b)(8) (2005). To be eligible for this reimbursement, the project must be located in a National Register Historic District and on the National Highway System and may not increase the department's cost or liability in complying with the National Historic Preservation Act, 16 United States Code, Sections 470 to 470x-6 (2005) or with 49 United States Code, Section 303 (2005).  For the purposes of this section, "National Register Historic District" means a district that is individually listed in the National Register of Historic Places pursuant to the National Historic Preservation Act, 16 United States Code, Sections 470 to 470x-6 (2005).</w:t>
      </w:r>
    </w:p>
    <w:p>
      <w:pPr>
        <w:jc w:val="both"/>
        <w:spacing w:before="100" w:after="0"/>
        <w:ind w:start="360"/>
      </w:pPr>
      <w:r>
        <w:rPr/>
      </w:r>
      <w:r>
        <w:rPr/>
      </w:r>
      <w:r>
        <w:t xml:space="preserve">The amount paid in any biennium under this section may not exceed federal surface transportation program funds available under 23 United States Code, Section 133(b)(8) (2005) to reimburse the State in that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§4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implement this section.  The rules must be consistent with any applicable federal regulations relating to the cost of relocation and with rules adopted pursuant to </w:t>
      </w:r>
      <w:r>
        <w:t>section 255</w:t>
      </w:r>
      <w:r>
        <w:t xml:space="preser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 PL 2007, c. 306,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§4210-A. Payment for cost of relocating utility facilities underground in federally designated historic districts on federal aid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§4210-A. Payment for cost of relocating utility facilities underground in federally designated historic districts on federal aid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§4210-A. PAYMENT FOR COST OF RELOCATING UTILITY FACILITIES UNDERGROUND IN FEDERALLY DESIGNATED HISTORIC DISTRICTS ON FEDERAL AID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