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5072</w:t>
        <w:t xml:space="preserve">.  </w:t>
      </w:r>
      <w:r>
        <w:rPr>
          <w:b/>
        </w:rPr>
        <w:t xml:space="preserve">Location; subscribers' objections; proceedings</w:t>
      </w:r>
    </w:p>
    <w:p>
      <w:pPr>
        <w:jc w:val="both"/>
        <w:spacing w:before="100" w:after="100"/>
        <w:ind w:start="360"/>
        <w:ind w:firstLine="360"/>
      </w:pPr>
      <w:r>
        <w:rPr/>
      </w:r>
      <w:r>
        <w:rPr/>
      </w:r>
      <w:r>
        <w:t xml:space="preserve">The railroad shall be located within the time and substantially according to the description of its charter and the location shall be filed with the county commissioners, who shall endorse the time of filing thereon and order that location recorded. When a corporation, by its first location, fails to acquire the land actually embraced in its roadway, or the location as recorded is defective or uncertain, it may, at any time, correct and perfect its location and file a new description. In that case, it is liable in damages, by reason of the new or amended location, only for land embraced therein for which the owner had not previously been paid. Railroad charters, whenever granted, limiting the time within which the railroad must be completed do not affect the portion completed within that time and all charters under which railroads have been constructed for a portion of the line authorized are confirmed and made valid as to that portion.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§5072. Location; subscribers' objections;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§5072. Location; subscribers' objections;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§5072. LOCATION; SUBSCRIBERS' OBJECTIONS;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