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Fences; liability for injuries</w:t>
      </w:r>
    </w:p>
    <w:p>
      <w:pPr>
        <w:jc w:val="both"/>
        <w:spacing w:before="100" w:after="100"/>
        <w:ind w:start="360"/>
        <w:ind w:firstLine="360"/>
      </w:pPr>
      <w:r>
        <w:rPr/>
      </w:r>
      <w:r>
        <w:rPr/>
      </w:r>
      <w:r>
        <w:t xml:space="preserve">Where a railroad passes through enclosed or improved land, or woodlots belonging to a farm, legal and sufficient fences shall be made on each side of the land taken therefor, before the construction of the road is commenced, and the fences shall be maintained and kept in good repair by the corporation. For any neglect of that duty during the construction of the road, and for injuries thereby occasioned by its servants, agents or contractors, the directors are jointly and severally personally liable. For any subsequent neglect, the corporation shall be fined a sum sufficient to make or repair the fence, to be recovered by indictment and expended by an agent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§6021. Fences; liability for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Fences; liability for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§6021. FENCES; LIABILITY FOR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