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b/>
        </w:rPr>
        <w:t>1</w:t>
        <w:t xml:space="preserve">.  </w:t>
      </w:r>
      <w:r>
        <w:rPr>
          <w:b/>
        </w:rPr>
        <w:t xml:space="preserve">Qualified person.</w:t>
        <w:t xml:space="preserve"> </w:t>
      </w:r>
      <w:r>
        <w:t xml:space="preserve"> </w:t>
      </w:r>
      <w:r>
        <w:t xml:space="preserve">"Qualified person" means a person who:</w:t>
      </w:r>
    </w:p>
    <w:p>
      <w:pPr>
        <w:jc w:val="both"/>
        <w:spacing w:before="100" w:after="0"/>
        <w:ind w:start="720"/>
      </w:pPr>
      <w:r>
        <w:rPr/>
        <w:t>A</w:t>
        <w:t xml:space="preserve">.  </w:t>
      </w:r>
      <w:r>
        <w:rPr/>
      </w:r>
      <w:r>
        <w:t xml:space="preserve">Has met all the education and training requirements as outlined under former </w:t>
      </w:r>
      <w:r>
        <w:t>Title 25, section 2805</w:t>
      </w:r>
      <w:r>
        <w:t xml:space="preserve">, first paragraph or </w:t>
      </w:r>
      <w:r>
        <w:t>Title 25, section 2804‑B</w:t>
      </w:r>
      <w:r>
        <w:t xml:space="preserve"> or </w:t>
      </w:r>
      <w:r>
        <w:t>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B, §1 (AMD).]</w:t>
      </w:r>
    </w:p>
    <w:p>
      <w:pPr>
        <w:jc w:val="both"/>
        <w:spacing w:before="100" w:after="0"/>
        <w:ind w:start="720"/>
      </w:pPr>
      <w:r>
        <w:rPr/>
        <w:t>A-1</w:t>
        <w:t xml:space="preserve">.  </w:t>
      </w:r>
      <w:r>
        <w:rPr/>
      </w:r>
      <w:r>
        <w:t xml:space="preserve">Continues to meet all the in-service training requirements pursuant to </w:t>
      </w:r>
      <w:r>
        <w:t>Title 25, 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199, §1 (NEW).]</w:t>
      </w:r>
    </w:p>
    <w:p>
      <w:pPr>
        <w:jc w:val="both"/>
        <w:spacing w:before="100" w:after="0"/>
        <w:ind w:start="720"/>
      </w:pPr>
      <w:r>
        <w:rPr/>
        <w:t>B</w:t>
        <w:t xml:space="preserve">.  </w:t>
      </w:r>
      <w:r>
        <w:rPr/>
      </w:r>
      <w:r>
        <w:t xml:space="preserve">Is of good moral character and has no record of conviction of a serious crime.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pPr>
      <w:r>
        <w:rPr/>
      </w:r>
      <w:r>
        <w:rPr/>
      </w:r>
      <w:r>
        <w:t xml:space="preserve">The qualification requirements of </w:t>
      </w:r>
      <w:r>
        <w:t>paragraph A</w:t>
      </w:r>
      <w:r>
        <w:t xml:space="preserve"> do not apply to any individual who was employed on a full-time basis by a railroad as a police officer on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B, §1 (AMD).]</w:t>
      </w:r>
    </w:p>
    <w:p>
      <w:pPr>
        <w:jc w:val="both"/>
        <w:spacing w:before="100" w:after="0"/>
        <w:ind w:start="360"/>
        <w:ind w:firstLine="360"/>
      </w:pPr>
      <w:r>
        <w:rPr>
          <w:b/>
        </w:rPr>
        <w:t>2</w:t>
        <w:t xml:space="preserve">.  </w:t>
      </w:r>
      <w:r>
        <w:rPr>
          <w:b/>
        </w:rPr>
        <w:t xml:space="preserve">Railroad; railroads; railway company.</w:t>
        <w:t xml:space="preserve"> </w:t>
      </w:r>
      <w:r>
        <w:t xml:space="preserve"> </w:t>
      </w:r>
      <w:r>
        <w:t xml:space="preserve">"Railroad," "Railroads" or "railway company" or any combination of those terms means a corporation engaged as a common carrier in the furnishing or sale of transportation by railroad, if subject to the jurisdiction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199, §1 (AMD). PL 2009, c. 317,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