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7219</w:t>
        <w:t xml:space="preserve">.  </w:t>
      </w:r>
      <w:r>
        <w:rPr>
          <w:b/>
        </w:rPr>
        <w:t xml:space="preserve">Report of decisions and copies to parties interested</w:t>
      </w:r>
    </w:p>
    <w:p>
      <w:pPr>
        <w:jc w:val="both"/>
        <w:spacing w:before="100" w:after="100"/>
        <w:ind w:start="360"/>
        <w:ind w:firstLine="360"/>
      </w:pPr>
      <w:r>
        <w:rPr/>
      </w:r>
      <w:r>
        <w:rPr/>
      </w:r>
      <w:r>
        <w:t xml:space="preserve">The department shall make a report in writing of its decision in all matters named in </w:t>
      </w:r>
      <w:r>
        <w:t>section 7218</w:t>
      </w:r>
      <w:r>
        <w:t xml:space="preserve">, file the report in the department's office, and cause a copy of the decision to be sent by mail to each of the railroad corporations and to the municipal officers of the cities or towns, as the case may be, interested in the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§7219. Report of decisions and copies to parties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§7219. Report of decisions and copies to parties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§7219. REPORT OF DECISIONS AND COPIES TO PARTIES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