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Application of code as to particular types of insurers</w:t>
      </w:r>
    </w:p>
    <w:p>
      <w:pPr>
        <w:jc w:val="both"/>
        <w:spacing w:before="100" w:after="100"/>
        <w:ind w:start="360"/>
        <w:ind w:firstLine="360"/>
      </w:pPr>
      <w:r>
        <w:rPr/>
      </w:r>
      <w:r>
        <w:rPr/>
      </w:r>
      <w:r>
        <w:t xml:space="preserve">No provision of this Title shall apply with respect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Domestic mutual assessment insurers, as identified in </w:t>
      </w:r>
      <w:r>
        <w:t>chapter 51</w:t>
      </w:r>
      <w:r>
        <w:t xml:space="preserve">, except as stated in such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 (AMD).]</w:t>
      </w:r>
    </w:p>
    <w:p>
      <w:pPr>
        <w:jc w:val="both"/>
        <w:spacing w:before="100" w:after="0"/>
        <w:ind w:start="360"/>
        <w:ind w:firstLine="360"/>
      </w:pPr>
      <w:r>
        <w:rPr>
          <w:b/>
        </w:rPr>
        <w:t>2</w:t>
        <w:t xml:space="preserve">.  </w:t>
      </w:r>
      <w:r>
        <w:rPr>
          <w:b/>
        </w:rPr>
      </w:r>
      <w:r>
        <w:t xml:space="preserve"> </w:t>
      </w:r>
      <w:r>
        <w:t xml:space="preserve">Fraternal benefit societies, except as stated in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§9 (RP).]</w:t>
      </w:r>
    </w:p>
    <w:p>
      <w:pPr>
        <w:jc w:val="both"/>
        <w:spacing w:before="100" w:after="0"/>
        <w:ind w:start="360"/>
        <w:ind w:firstLine="360"/>
      </w:pPr>
      <w:r>
        <w:rPr>
          <w:b/>
        </w:rPr>
        <w:t>4</w:t>
        <w:t xml:space="preserve">.  </w:t>
      </w:r>
      <w:r>
        <w:rPr>
          <w:b/>
        </w:rPr>
      </w:r>
      <w:r>
        <w:t xml:space="preserve"> </w:t>
      </w:r>
      <w:r>
        <w:t xml:space="preserve">Unless otherwise expressly provided by this Title, a domestic insurer heretofore formed under a special Act of the Legislature, when inconsistent with such special Act as heretofore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§3 (AMD).]</w:t>
      </w:r>
    </w:p>
    <w:p>
      <w:pPr>
        <w:jc w:val="both"/>
        <w:spacing w:before="100" w:after="0"/>
        <w:ind w:start="360"/>
        <w:ind w:firstLine="360"/>
      </w:pPr>
      <w:r>
        <w:rPr>
          <w:b/>
        </w:rPr>
        <w:t>5</w:t>
        <w:t xml:space="preserve">.  </w:t>
      </w:r>
      <w:r>
        <w:rPr>
          <w:b/>
        </w:rPr>
      </w:r>
      <w:r>
        <w:t xml:space="preserve"> </w:t>
      </w:r>
      <w:r>
        <w:t xml:space="preserve">The government contracting activities of a health care servicing entity, as defined in </w:t>
      </w:r>
      <w:r>
        <w:t>Title 22, section 3173</w:t>
      </w:r>
      <w:r>
        <w:t xml:space="preserve">, contracting, whether directly or as a subcontractor, with the Department of Health and Human Services, unless otherwise expressly provided by this Title.  This Title may apply to other insurance or managed care activities of a health care servicing entity;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§4 (NEW); PL 2003, c. 689, Pt. B, §6 (REV).]</w:t>
      </w:r>
    </w:p>
    <w:p>
      <w:pPr>
        <w:jc w:val="both"/>
        <w:spacing w:before="100" w:after="0"/>
        <w:ind w:start="360"/>
        <w:ind w:firstLine="360"/>
      </w:pPr>
      <w:r>
        <w:rPr>
          <w:b/>
        </w:rPr>
        <w:t>6</w:t>
        <w:t xml:space="preserve">.  </w:t>
      </w:r>
      <w:r>
        <w:rPr>
          <w:b/>
        </w:rPr>
      </w:r>
      <w:r>
        <w:t xml:space="preserve"> </w:t>
      </w:r>
      <w:r>
        <w:t xml:space="preserve">The government contracting activities of a health care servicing entity, as defined in </w:t>
      </w:r>
      <w:r>
        <w:t>Title 22‑A, section 207, subsection 7</w:t>
      </w:r>
      <w:r>
        <w:t xml:space="preserve">, contracting, whether directly or as a subcontractor, with the Department of Health and Human Services, unless otherwise expressly provided by this Title.  This Title may apply to any other insurance or managed care activities of a health care servicing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 (AMD). PL 1985, c. 399, §1 (AMD). PL 1997, c. 457, §§8,9 (AMD). PL 1997, c. 676, §§2-4 (AMD). PL 2001, c. 354, §3 (AMD). PL 2003, c. 689, §B6 (REV). PL 2007, c. 539, Pt. N, §55 (AMD). PL 2007, c. 695,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Application of code as to particular types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Application of code as to particular types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§10. APPLICATION OF CODE AS TO PARTICULAR TYPES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