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w:t>
        <w:t xml:space="preserve">.  </w:t>
      </w:r>
      <w:r>
        <w:rPr>
          <w:b/>
        </w:rPr>
        <w:t xml:space="preserve">Diversification</w:t>
      </w:r>
    </w:p>
    <w:p>
      <w:pPr>
        <w:jc w:val="both"/>
        <w:spacing w:before="100" w:after="100"/>
        <w:ind w:start="360"/>
        <w:ind w:firstLine="360"/>
      </w:pPr>
      <w:r>
        <w:rPr/>
      </w:r>
      <w:r>
        <w:rPr/>
      </w:r>
      <w:r>
        <w:t xml:space="preserve">Investments of an insurer shall be subject to the following diversification requirements and limitations.</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100"/>
        <w:ind w:start="360"/>
        <w:ind w:firstLine="360"/>
      </w:pPr>
      <w:r>
        <w:rPr>
          <w:b/>
        </w:rPr>
        <w:t>1</w:t>
        <w:t xml:space="preserve">.  </w:t>
      </w:r>
      <w:r>
        <w:rPr>
          <w:b/>
        </w:rPr>
        <w:t xml:space="preserve">Real estate; personal property; equity interests; subsidiaries.</w:t>
        <w:t xml:space="preserve"> </w:t>
      </w:r>
      <w:r>
        <w:t xml:space="preserve"> </w:t>
      </w:r>
      <w:r>
        <w:t xml:space="preserve">Not more than 40% of the insurer's assets in aggregate amount may consist of investments described in the following paragraphs:</w:t>
      </w:r>
    </w:p>
    <w:p>
      <w:pPr>
        <w:jc w:val="both"/>
        <w:spacing w:before="100" w:after="0"/>
        <w:ind w:start="720"/>
      </w:pPr>
      <w:r>
        <w:rPr/>
        <w:t>A</w:t>
        <w:t xml:space="preserve">.  </w:t>
      </w:r>
      <w:r>
        <w:rPr/>
      </w:r>
      <w:r>
        <w:t xml:space="preserve">Real estate, </w:t>
      </w:r>
      <w:r>
        <w:t>section 1156, subsection 2, paragraph D</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B</w:t>
        <w:t xml:space="preserve">.  </w:t>
      </w:r>
      <w:r>
        <w:rPr/>
      </w:r>
      <w:r>
        <w:t xml:space="preserve">Personal property, </w:t>
      </w:r>
      <w:r>
        <w:t>section 1156,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C</w:t>
        <w:t xml:space="preserve">.  </w:t>
      </w:r>
      <w:r>
        <w:rPr/>
      </w:r>
      <w:r>
        <w:t xml:space="preserve">Equity interests, </w:t>
      </w:r>
      <w:r>
        <w:t>section 1156, subsection 2, paragraph F</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D</w:t>
        <w:t xml:space="preserve">.  </w:t>
      </w:r>
      <w:r>
        <w:rPr/>
      </w:r>
      <w:r>
        <w:t xml:space="preserve">Subsidiaries, </w:t>
      </w:r>
      <w:r>
        <w:t>section 1157</w:t>
      </w:r>
      <w:r>
        <w:t xml:space="preserve">, except as provided in that section.</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360"/>
      </w:pPr>
      <w:r>
        <w:rPr/>
      </w:r>
      <w:r>
        <w:rPr/>
      </w:r>
      <w:r>
        <w:t xml:space="preserve">If, on or after the effective date of this subsection, the insurer makes investments of those types in institutions or property located within the State aggregating 1% or more of its assets, the 40% limitation in this subsection must be increased by an equal amount up to 45%, exclusive of those investments in institutions or property located within the State, thus providing for a maximum limit on the investments described in those paragraphs of 50% of the insurer's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§3 (AMD).]</w:t>
      </w:r>
    </w:p>
    <w:p>
      <w:pPr>
        <w:jc w:val="both"/>
        <w:spacing w:before="100" w:after="100"/>
        <w:ind w:start="360"/>
        <w:ind w:firstLine="360"/>
      </w:pPr>
      <w:r>
        <w:rPr>
          <w:b/>
        </w:rPr>
        <w:t>2</w:t>
        <w:t xml:space="preserve">.  </w:t>
      </w:r>
      <w:r>
        <w:rPr>
          <w:b/>
        </w:rPr>
        <w:t xml:space="preserve"> Counter-party limitations.</w:t>
        <w:t xml:space="preserve"> </w:t>
      </w:r>
      <w:r>
        <w:t xml:space="preserve"> </w:t>
      </w:r>
      <w:r>
        <w:t xml:space="preserve">Except as otherwise expressly provided, an insurer may not invest in or may not incur counter-party exposure to any one person if, after giving effect to those investments and that counter-party exposure, the aggregate of those investments in and that counter-party exposure to that person would exceed 10% of the insurer's admitted assets, with the following exceptions:</w:t>
      </w:r>
    </w:p>
    <w:p>
      <w:pPr>
        <w:jc w:val="both"/>
        <w:spacing w:before="100" w:after="0"/>
        <w:ind w:start="720"/>
      </w:pPr>
      <w:r>
        <w:rPr/>
        <w:t>A</w:t>
        <w:t xml:space="preserve">.  </w:t>
      </w:r>
      <w:r>
        <w:rPr/>
      </w:r>
      <w:r>
        <w:t xml:space="preserve">Government obligations pursuant to </w:t>
      </w:r>
      <w:r>
        <w:t>section 1156,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524, §3 (AMD).]</w:t>
      </w:r>
    </w:p>
    <w:p>
      <w:pPr>
        <w:jc w:val="both"/>
        <w:spacing w:before="100" w:after="0"/>
        <w:ind w:start="720"/>
      </w:pPr>
      <w:r>
        <w:rPr/>
        <w:t>B</w:t>
        <w:t xml:space="preserve">.  </w:t>
      </w:r>
      <w:r>
        <w:rPr/>
      </w:r>
      <w:r>
        <w:t xml:space="preserve">Policy loans pursuant to </w:t>
      </w:r>
      <w:r>
        <w:t>section 1158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524, §3 (AMD).]</w:t>
      </w:r>
    </w:p>
    <w:p>
      <w:pPr>
        <w:jc w:val="both"/>
        <w:spacing w:before="100" w:after="0"/>
        <w:ind w:start="720"/>
      </w:pPr>
      <w:r>
        <w:rPr/>
        <w:t>C</w:t>
        <w:t xml:space="preserve">.  </w:t>
      </w:r>
      <w:r>
        <w:rPr/>
      </w:r>
      <w:r>
        <w:t xml:space="preserve">Index mutual funds, but as to this exception, only with the prior approval of the superintendent and limited to 20% of the insurer's admitted assets.</w:t>
      </w:r>
      <w:r>
        <w:t xml:space="preserve">  </w:t>
      </w:r>
      <w:r xmlns:wp="http://schemas.openxmlformats.org/drawingml/2010/wordprocessingDrawing" xmlns:w15="http://schemas.microsoft.com/office/word/2012/wordml">
        <w:rPr>
          <w:rFonts w:ascii="Arial" w:hAnsi="Arial" w:cs="Arial"/>
          <w:sz w:val="22"/>
          <w:szCs w:val="22"/>
        </w:rPr>
        <w:t xml:space="preserve">[PL 2001, c. 524,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§3 (AMD).]</w:t>
      </w:r>
    </w:p>
    <w:p>
      <w:pPr>
        <w:jc w:val="both"/>
        <w:spacing w:before="100" w:after="0"/>
        <w:ind w:start="360"/>
        <w:ind w:firstLine="360"/>
      </w:pPr>
      <w:r>
        <w:rPr>
          <w:b/>
        </w:rPr>
        <w:t>3</w:t>
        <w:t xml:space="preserve">.  </w:t>
      </w:r>
      <w:r>
        <w:rPr>
          <w:b/>
        </w:rPr>
        <w:t xml:space="preserve">Other investment limitations.</w:t>
        <w:t xml:space="preserve"> </w:t>
      </w:r>
      <w:r>
        <w:t xml:space="preserve"> </w:t>
      </w:r>
      <w:r>
        <w:t xml:space="preserve">Other investment limitations are as provided in particular sections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1999, c. 715, §11 (AMD). PL 2001, c. 524, §3 (AMD). PL 2023, c. 59,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§1155. Diversification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 Diversification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§1155. DIVERSIFICATION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