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Rights of insurer during solvency</w:t>
      </w:r>
    </w:p>
    <w:p>
      <w:pPr>
        <w:jc w:val="both"/>
        <w:spacing w:before="100" w:after="100"/>
        <w:ind w:start="360"/>
        <w:ind w:firstLine="360"/>
      </w:pPr>
      <w:r>
        <w:rPr/>
      </w:r>
      <w:r>
        <w:rPr/>
      </w:r>
      <w:r>
        <w:t xml:space="preserve">So long as the insurer remains solvent and is in compliance with this Title it may: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Demand, receive, sue for and recover the income from the securities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Exchange and substitute for the deposited securities, eligible securities of equivalent or greater fair market value;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At any reasonable time inspect any such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 Rights of insurer during 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Rights of insurer during 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§1260. RIGHTS OF INSURER DURING 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