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Affordable Care Act defined</w:t>
      </w:r>
    </w:p>
    <w:p>
      <w:pPr>
        <w:jc w:val="both"/>
        <w:spacing w:before="100" w:after="100"/>
        <w:ind w:start="360"/>
        <w:ind w:firstLine="360"/>
      </w:pPr>
      <w:r>
        <w:rPr/>
      </w:r>
      <w:r>
        <w:rPr/>
      </w:r>
      <w:r>
        <w:t xml:space="preserve">As used in this Title, "federal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r>
        <w:t xml:space="preserve">  </w:t>
      </w:r>
      <w:r xmlns:wp="http://schemas.openxmlformats.org/drawingml/2010/wordprocessingDrawing" xmlns:w15="http://schemas.microsoft.com/office/word/2012/wordml">
        <w:rPr>
          <w:rFonts w:ascii="Arial" w:hAnsi="Arial" w:cs="Arial"/>
          <w:sz w:val="22"/>
          <w:szCs w:val="22"/>
        </w:rPr>
        <w:t xml:space="preserve">[PL 2011, c. 90,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Affordable Care Act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Affordable Care Act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 AFFORDABLE CARE ACT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