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§1415. LICENSE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