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1420-O</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license applicant with a valid license from that person's home state, except the requirements imposed by </w:t>
      </w:r>
      <w:r>
        <w:t>section 1420‑G</w:t>
      </w:r>
      <w:r>
        <w:t xml:space="preserve">, if the applicant's home state awards nonresident licenses to residents of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Satisfaction of a nonresident producer's home state's continuing education requirements for licensed insurance producers constitutes satisfaction of this State's continuing education requirements if the nonresident producer's home state recognizes the satisfaction of its continuing education requirements imposed upon producers from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§1420-O.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§1420-O.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§1420-O.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