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w:t>
        <w:t xml:space="preserve">.  </w:t>
      </w:r>
      <w:r>
        <w:rPr>
          <w:b/>
        </w:rPr>
        <w:t xml:space="preserve">Investigation of license applicants</w:t>
      </w:r>
    </w:p>
    <w:p>
      <w:pPr>
        <w:jc w:val="both"/>
        <w:spacing w:before="100" w:after="100"/>
        <w:ind w:start="360"/>
        <w:ind w:firstLine="360"/>
      </w:pPr>
      <w:r>
        <w:rPr/>
      </w:r>
      <w:r>
        <w:rPr/>
      </w:r>
      <w:r>
        <w:t xml:space="preserve">When an application for license under this chapter is submitted, the superintendent may investigate the applicant's character, financial responsibility, experience, background and fitness for the license applied for.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§1425. Investigation of license applicants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 Investigation of license applicants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§1425. INVESTIGATION OF LICENSE APPLICANTS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