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§1449. REPORTING AND ACCOUNTING FOR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