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1462</w:t>
        <w:t xml:space="preserve">.  </w:t>
      </w:r>
      <w:r>
        <w:rPr>
          <w:b/>
        </w:rPr>
        <w:t xml:space="preserve">License required</w:t>
      </w:r>
    </w:p>
    <w:p>
      <w:pPr>
        <w:jc w:val="both"/>
        <w:spacing w:before="100" w:after="100"/>
        <w:ind w:start="360"/>
        <w:ind w:firstLine="360"/>
      </w:pPr>
      <w:r>
        <w:rPr/>
      </w:r>
      <w:r>
        <w:rPr/>
      </w:r>
      <w:r>
        <w:t xml:space="preserve">A person may not act as a consultant in this State without first obtaining a license from the superintendent in accordance with this subchapter.</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§1462. License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§1462. License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§1462. LICENSE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