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1484</w:t>
        <w:t xml:space="preserve">.  </w:t>
      </w:r>
      <w:r>
        <w:rPr>
          <w:b/>
        </w:rPr>
        <w:t xml:space="preserve">Failure to comply</w:t>
      </w:r>
    </w:p>
    <w:p>
      <w:pPr>
        <w:jc w:val="both"/>
        <w:spacing w:before="100" w:after="100"/>
        <w:ind w:start="360"/>
        <w:ind w:firstLine="360"/>
      </w:pPr>
      <w:r>
        <w:rPr/>
      </w:r>
      <w:r>
        <w:rPr/>
      </w:r>
      <w:r>
        <w:t xml:space="preserve">The license of any insurance producer or consultant who is out of compliance with this subchapter for at least 60 days, is subject to suspension or revocation pursuant to </w:t>
      </w:r>
      <w:r>
        <w:t>section 1420‑K,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§47 (AMD). PL 2001, c. 259,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§1484. Failure to comply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§1484. Failure to comply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§1484. FAILURE TO COMPLY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