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Scope</w:t>
      </w:r>
    </w:p>
    <w:p>
      <w:pPr>
        <w:jc w:val="both"/>
        <w:spacing w:before="100" w:after="100"/>
        <w:ind w:start="360"/>
        <w:ind w:firstLine="360"/>
      </w:pPr>
      <w:r>
        <w:rPr/>
      </w:r>
      <w:r>
        <w:rPr/>
      </w:r>
      <w:r>
        <w:t xml:space="preserve">This chapter applies exclusively to transactions when this State is the home state of the applicant or insured.  Nothing in this chapter applies to the sale, solicitation, negotiation, placement or writing of contracts of insurance for any applicant or insured whose home state is in a jurisdiction other than in this State.</w:t>
      </w:r>
      <w:r>
        <w:t xml:space="preserve">  </w:t>
      </w:r>
      <w:r xmlns:wp="http://schemas.openxmlformats.org/drawingml/2010/wordprocessingDrawing" xmlns:w15="http://schemas.microsoft.com/office/word/2012/wordml">
        <w:rPr>
          <w:rFonts w:ascii="Arial" w:hAnsi="Arial" w:cs="Arial"/>
          <w:sz w:val="22"/>
          <w:szCs w:val="22"/>
        </w:rPr>
        <w:t xml:space="preserve">[PL 2011, c. 331, §1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 (NEW).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§2001-A.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§2001-A.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