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Staff</w:t>
      </w:r>
    </w:p>
    <w:p>
      <w:pPr>
        <w:jc w:val="both"/>
        <w:spacing w:before="100" w:after="100"/>
        <w:ind w:start="360"/>
        <w:ind w:firstLine="360"/>
      </w:pPr>
      <w:r>
        <w:rPr/>
      </w:r>
      <w:r>
        <w:rPr/>
      </w:r>
      <w:r>
        <w:t xml:space="preserve">The superintendent may employ personnel as the business of the bureau may require, subject to the Commissioner of Professional and Financial Regulation's approval and in accordance with the Civil Service Law.  The qualifications of those personnel must reflect the needs and responsibilities relating to the bureau's regulatory functions pursuant to this Title.  The superintendent may authorize senior personnel of the bureau to carry out the superintendent's duties and authority.</w:t>
      </w:r>
      <w:r>
        <w:t xml:space="preserve">  </w:t>
      </w:r>
      <w:r xmlns:wp="http://schemas.openxmlformats.org/drawingml/2010/wordprocessingDrawing" xmlns:w15="http://schemas.microsoft.com/office/word/2012/wordml">
        <w:rPr>
          <w:rFonts w:ascii="Arial" w:hAnsi="Arial" w:cs="Arial"/>
          <w:sz w:val="22"/>
          <w:szCs w:val="22"/>
        </w:rPr>
        <w:t xml:space="preserve">[PL 1995, c. 502, Pt. H,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785, §B107 (AMD). PL 1995, c. 502, §H17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§207.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§207.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