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2151-B</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promulgate rules defining, limiting or prescribing acts and practices which are deemed to be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§2151-B.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§2151-B.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§2151-B.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