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Misrepresentation; false advertising of policies</w:t>
      </w:r>
    </w:p>
    <w:p>
      <w:pPr>
        <w:jc w:val="both"/>
        <w:spacing w:before="100" w:after="100"/>
        <w:ind w:start="360"/>
        <w:ind w:firstLine="360"/>
      </w:pPr>
      <w:r>
        <w:rPr/>
      </w:r>
      <w:r>
        <w:rPr/>
      </w:r>
      <w:r>
        <w:t xml:space="preserve">No person shall make, issue, circulate, or cause to be made, issued or circulated, any estimate, illustration, circular or statement misrepresenting the terms of any policy issued or to be issued or the benefits or advantages promised thereby or the dividends or share of the surplus to be received thereon, or make any false or misleading statement as to the dividends or share of surplus previously paid on similar policies, or make any misleading representation or any misrepresentation as to the financial condition of any insurer, or as to the legal reserve system upon which any life insurer operates, or use any name or title on any policy or class of policies misrepresenting the true nature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Misrepresentation; false advertising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Misrepresentation; false advertising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§2153. MISREPRESENTATION; FALSE ADVERTISING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