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2164</w:t>
        <w:t xml:space="preserve">.  </w:t>
      </w:r>
      <w:r>
        <w:rPr>
          <w:b/>
        </w:rPr>
        <w:t xml:space="preserve">Stock operations and advisory board contracts</w:t>
      </w:r>
    </w:p>
    <w:p>
      <w:pPr>
        <w:jc w:val="both"/>
        <w:spacing w:before="100" w:after="100"/>
        <w:ind w:start="360"/>
        <w:ind w:firstLine="360"/>
      </w:pPr>
      <w:r>
        <w:rPr/>
      </w:r>
      <w:r>
        <w:rPr/>
      </w:r>
      <w:r>
        <w:t xml:space="preserve">No person shall issue or deliver or permit its agents, officers, or employees to issue or deliver agency company stock or other capital stock, or benefit certificates or shares in any common law corporation, or securities or any special or advisory board contracts or other contracts of any kind promising returns and profits as an inducement to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§2164. Stock operations and advisory board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§2164. Stock operations and advisory board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§2164. STOCK OPERATIONS AND ADVISORY BOARD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