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 SERVICE UPON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