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Notice of insurance information practices</w:t>
      </w:r>
    </w:p>
    <w:p>
      <w:pPr>
        <w:jc w:val="both"/>
        <w:spacing w:before="100" w:after="100"/>
        <w:ind w:start="360"/>
        <w:ind w:firstLine="360"/>
      </w:pPr>
      <w:r>
        <w:rPr/>
      </w:r>
      <w:r>
        <w:rPr/>
      </w:r>
      <w:r>
        <w:t xml:space="preserve">The following requirements apply to notices provided by regulated insurance entities.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Written notice.</w:t>
        <w:t xml:space="preserve"> </w:t>
      </w:r>
      <w:r>
        <w:t xml:space="preserve"> </w:t>
      </w:r>
      <w:r>
        <w:t xml:space="preserve">A regulated insurance entity shall provide a written notice of information practices to  the applicant, policyholder or claimant in connection with all consumer insurance transactions in accordance with the following.</w:t>
      </w:r>
    </w:p>
    <w:p>
      <w:pPr>
        <w:jc w:val="both"/>
        <w:spacing w:before="100" w:after="0"/>
        <w:ind w:start="720"/>
      </w:pPr>
      <w:r>
        <w:rPr/>
        <w:t>A</w:t>
        <w:t xml:space="preserve">.  </w:t>
      </w:r>
      <w:r>
        <w:rPr/>
      </w:r>
      <w:r>
        <w:t xml:space="preserve">In the case of an application for insurance, the notice must be provided no later than:</w:t>
      </w:r>
    </w:p>
    <w:p>
      <w:pPr>
        <w:jc w:val="both"/>
        <w:spacing w:before="100" w:after="0"/>
        <w:ind w:start="1080"/>
      </w:pPr>
      <w:r>
        <w:rPr/>
        <w:t>(</w:t>
        <w:t>1</w:t>
        <w:t xml:space="preserve">)  </w:t>
      </w:r>
      <w:r>
        <w:rPr/>
      </w:r>
      <w:r>
        <w:t xml:space="preserve">The time of the delivery of the insurance policy or certificate when personal information is collected only from the applicant or from public records;</w:t>
      </w:r>
    </w:p>
    <w:p>
      <w:pPr>
        <w:jc w:val="both"/>
        <w:spacing w:before="100" w:after="0"/>
        <w:ind w:start="1080"/>
      </w:pPr>
      <w:r>
        <w:rPr/>
        <w:t>(</w:t>
        <w:t>2</w:t>
        <w:t xml:space="preserve">)  </w:t>
      </w:r>
      <w:r>
        <w:rPr/>
      </w:r>
      <w:r>
        <w:t xml:space="preserve">The time the collection of personal information is initiated when personal information is collected from a source other than the applicant or public records; or</w:t>
      </w:r>
    </w:p>
    <w:p>
      <w:pPr>
        <w:jc w:val="both"/>
        <w:spacing w:before="100" w:after="0"/>
        <w:ind w:start="1080"/>
      </w:pPr>
      <w:r>
        <w:rPr/>
        <w:t>(</w:t>
        <w:t>3</w:t>
        <w:t xml:space="preserve">)  </w:t>
      </w:r>
      <w:r>
        <w:rPr/>
      </w:r>
      <w:r>
        <w:t xml:space="preserve">The time of initial notification to the consumer when the insurance transaction is not initiated by the consumer and the consumer was selected based on specific criteria derived from personal information obtained from any source.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a policy renewal, if a change has been made in the regulated insurance entity's information practices, the notice must be provided no later than the policy renewal date, unless:</w:t>
      </w:r>
    </w:p>
    <w:p>
      <w:pPr>
        <w:jc w:val="both"/>
        <w:spacing w:before="100" w:after="0"/>
        <w:ind w:start="1080"/>
      </w:pPr>
      <w:r>
        <w:rPr/>
        <w:t>(</w:t>
        <w:t>1</w:t>
        <w:t xml:space="preserve">)  </w:t>
      </w:r>
      <w:r>
        <w:rPr/>
      </w:r>
      <w:r>
        <w:t xml:space="preserve">Personal information is collected only from the policyholder or from public records; or</w:t>
      </w:r>
    </w:p>
    <w:p>
      <w:pPr>
        <w:jc w:val="both"/>
        <w:spacing w:before="100" w:after="0"/>
        <w:ind w:start="1080"/>
      </w:pPr>
      <w:r>
        <w:rPr/>
        <w:t>(</w:t>
        <w:t>2</w:t>
        <w:t xml:space="preserve">)  </w:t>
      </w:r>
      <w:r>
        <w:rPr/>
      </w:r>
      <w:r>
        <w:t xml:space="preserve">A notice meeting the requirements of this section has been given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w:pPr>
        <w:jc w:val="both"/>
        <w:spacing w:before="100" w:after="0"/>
        <w:ind w:start="720"/>
      </w:pPr>
      <w:r>
        <w:rPr/>
        <w:t>C</w:t>
        <w:t xml:space="preserve">.  </w:t>
      </w:r>
      <w:r>
        <w:rPr/>
      </w:r>
      <w:r>
        <w:t xml:space="preserve">In the case of a policy reinstatement or change in insurance benefits, if a change has been made in the regulated insurance entity's information practices, the notice must be provided no later than the time the request for reinstatement or change in benefits is received by the carrier, unless personal information is collected only from the policyholder or from public records.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 §1 (AMD).]</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The notice must state:</w:t>
      </w:r>
    </w:p>
    <w:p>
      <w:pPr>
        <w:jc w:val="both"/>
        <w:spacing w:before="100" w:after="0"/>
        <w:ind w:start="720"/>
      </w:pPr>
      <w:r>
        <w:rPr/>
        <w:t>A</w:t>
        <w:t xml:space="preserve">.  </w:t>
      </w:r>
      <w:r>
        <w:rPr/>
      </w:r>
      <w:r>
        <w:t xml:space="preserve">Whether 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types of personal information that may be collected and the types of sources and investigative techniques that may be used to collect such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types of disclosures that may be made without prior authorization under </w:t>
      </w:r>
      <w:r>
        <w:t>section 2215</w:t>
      </w:r>
      <w:r>
        <w:t xml:space="preserve"> and the circumstances under which any such disclosures may be made without prior authorization, except that only those circumstances need be described that occur with such frequency as to indicate a general business practice;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description of the rights established under </w:t>
      </w:r>
      <w:r>
        <w:t>sections 2210</w:t>
      </w:r>
      <w:r>
        <w:t xml:space="preserve"> and </w:t>
      </w:r>
      <w:r>
        <w:t>2211</w:t>
      </w:r>
      <w:r>
        <w:t xml:space="preserve"> and the manner in which those rights may be exercised;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That information obtained from a report prepared by an insurance support organization may be retained by the insurance support organization and disclosed to other persons;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A description of the types of persons who may have access to the insurance consumer's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Abbreviated notice.</w:t>
        <w:t xml:space="preserve"> </w:t>
      </w:r>
      <w:r>
        <w:t xml:space="preserve"> </w:t>
      </w:r>
      <w:r>
        <w:t xml:space="preserve">In lieu of the notice prescribed in </w:t>
      </w:r>
      <w:r>
        <w:t>subsection 2</w:t>
      </w:r>
      <w:r>
        <w:t xml:space="preserve">, the regulated insurance entity may provide an abbreviated notice informing the applicant or policyholder that:</w:t>
      </w:r>
    </w:p>
    <w:p>
      <w:pPr>
        <w:jc w:val="both"/>
        <w:spacing w:before="100" w:after="0"/>
        <w:ind w:start="720"/>
      </w:pPr>
      <w:r>
        <w:rPr/>
        <w:t>A</w:t>
        <w:t xml:space="preserve">.  </w:t>
      </w:r>
      <w:r>
        <w:rPr/>
      </w:r>
      <w:r>
        <w:t xml:space="preserve">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Information described in </w:t>
      </w:r>
      <w:r>
        <w:t>paragraph A</w:t>
      </w:r>
      <w:r>
        <w:t xml:space="preserve"> as well as other personal information subsequently collected by the regulated insurance entity may in certain circumstances be disclosed to 3rd parties without authorization pursuant to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right of access and correction exists with respect to all personal information collected;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The notice prescribed in </w:t>
      </w:r>
      <w:r>
        <w:t>subsection 2</w:t>
      </w:r>
      <w:r>
        <w:t xml:space="preserve"> will be furnished to the applicant or policyholder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Satisfaction by other carrier, producer or administrator.</w:t>
        <w:t xml:space="preserve"> </w:t>
      </w:r>
      <w:r>
        <w:t xml:space="preserve"> </w:t>
      </w:r>
      <w:r>
        <w:t xml:space="preserve">The notice requirements  imposed by this section upon a regulated insurance entity may be satisfied by a carrier, producer or administrator authorized to act on the entity's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Standard notice forms.</w:t>
        <w:t xml:space="preserve"> </w:t>
      </w:r>
      <w:r>
        <w:t xml:space="preserve"> </w:t>
      </w:r>
      <w:r>
        <w:t xml:space="preserve">All carriers shall develop and use standard notice forms, but are not required to use the same form as other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§2206. Notice of insurance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Notice of insurance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§2206. NOTICE OF INSURANCE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