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2242</w:t>
        <w:t xml:space="preserve">.  </w:t>
      </w:r>
      <w:r>
        <w:rPr>
          <w:b/>
        </w:rPr>
        <w:t xml:space="preserve">Notice and registration requirements of transferees of structured settlements</w:t>
      </w:r>
    </w:p>
    <w:p>
      <w:pPr>
        <w:jc w:val="both"/>
        <w:spacing w:before="100" w:after="100"/>
        <w:ind w:start="360"/>
        <w:ind w:firstLine="360"/>
      </w:pPr>
      <w:r>
        <w:rPr>
          <w:b/>
        </w:rPr>
        <w:t>1</w:t>
        <w:t xml:space="preserve">.  </w:t>
      </w:r>
      <w:r>
        <w:rPr>
          <w:b/>
        </w:rPr>
        <w:t xml:space="preserve">Notice.</w:t>
        <w:t xml:space="preserve"> </w:t>
      </w:r>
      <w:r>
        <w:t xml:space="preserve"> </w:t>
      </w:r>
      <w:r>
        <w:t xml:space="preserve">A transferee of structured settlement payment rights that intends to do business in this State shall, prior to doing business, pay the appropriate fee at the rate established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transferee is domiciled;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Provide such 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transferee shall register with the superintendent and designate an agent solely for the purpose of receiving service of legal documents or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transferee that was doing business in this State prior to the effective date of this chapter within 30 days after the effective date of this chapter shall furnish notice to the superintendent pursuant to the requirements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transferee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§2242. Notice and registration requirements of transferees of structured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§2242. Notice and registration requirements of transferees of structured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§2242. NOTICE AND REGISTRATION REQUIREMENTS OF TRANSFEREES OF STRUCTURED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