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2245</w:t>
        <w:t xml:space="preserve">.  </w:t>
      </w:r>
      <w:r>
        <w:rPr>
          <w:b/>
        </w:rPr>
        <w:t xml:space="preserve">Prohibitions</w:t>
      </w:r>
    </w:p>
    <w:p>
      <w:pPr>
        <w:jc w:val="both"/>
        <w:spacing w:before="100" w:after="0"/>
        <w:ind w:start="360"/>
        <w:ind w:firstLine="360"/>
      </w:pPr>
      <w:r>
        <w:rPr>
          <w:b/>
        </w:rPr>
        <w:t>1</w:t>
        <w:t xml:space="preserve">.  </w:t>
      </w:r>
      <w:r>
        <w:rPr>
          <w:b/>
        </w:rPr>
        <w:t xml:space="preserve">Prohibition against waiver.</w:t>
        <w:t xml:space="preserve"> </w:t>
      </w:r>
      <w:r>
        <w:t xml:space="preserve"> </w:t>
      </w:r>
      <w:r>
        <w:t xml:space="preserve">The provisions of this chapter may not be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2</w:t>
        <w:t xml:space="preserve">.  </w:t>
      </w:r>
      <w:r>
        <w:rPr>
          <w:b/>
        </w:rPr>
        <w:t xml:space="preserve">Prohibition against penalty.</w:t>
        <w:t xml:space="preserve"> </w:t>
      </w:r>
      <w:r>
        <w:t xml:space="preserve"> </w:t>
      </w:r>
      <w:r>
        <w:t xml:space="preserve">A payee who proposes to make a transfer of structured settlement payment rights may not incur a penalty, forfeit an application fee or other payment or otherwise incur any liability to the proposed transferee based on the failure of that transfer to satisfy the conditions of </w:t>
      </w:r>
      <w:r>
        <w:t>section 2243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§2245.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§2245.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§2245.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