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2382-F</w:t>
        <w:t xml:space="preserve">.  </w:t>
      </w:r>
      <w:r>
        <w:rPr>
          <w:b/>
        </w:rPr>
        <w:t xml:space="preserve">Report required</w:t>
      </w:r>
    </w:p>
    <w:p>
      <w:pPr>
        <w:jc w:val="both"/>
        <w:spacing w:before="100" w:after="100"/>
        <w:ind w:start="360"/>
        <w:ind w:firstLine="360"/>
      </w:pPr>
      <w:r>
        <w:rPr/>
      </w:r>
      <w:r>
        <w:rPr/>
      </w:r>
      <w:r>
        <w:t xml:space="preserve">In order to comply with </w:t>
      </w:r>
      <w:r>
        <w:t>Title 26, section 61, subsection 1‑A</w:t>
      </w:r>
      <w:r>
        <w:t xml:space="preserve">, on or before March 1st of each year, every workers' compensation insurer shall file a report with the superintendent showing the amount of total actual paid workers' compensation losses and the total actual paid workers' compensation medical payments for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§2382-F.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§2382-F.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§2382-F.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