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Scope of chapter</w:t>
      </w:r>
    </w:p>
    <w:p>
      <w:pPr>
        <w:jc w:val="both"/>
        <w:spacing w:before="100" w:after="100"/>
        <w:ind w:start="360"/>
        <w:ind w:firstLine="360"/>
      </w:pPr>
      <w:r>
        <w:rPr/>
      </w:r>
      <w:r>
        <w:rPr/>
      </w:r>
      <w:r>
        <w:t xml:space="preserve">This chapter applies as to all insurance contracts and annuity contracts, other than: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Unless otherwise specifically indicated, policies or contracts not issued for delivery in this State nor delivered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171, Pt. C, §1 (AMD).]</w:t>
      </w:r>
    </w:p>
    <w:p>
      <w:pPr>
        <w:jc w:val="both"/>
        <w:spacing w:before="100" w:after="0"/>
        <w:ind w:start="360"/>
        <w:ind w:firstLine="360"/>
      </w:pPr>
      <w:r>
        <w:rPr>
          <w:b/>
        </w:rPr>
        <w:t>3</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171,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