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Information to debtor</w:t>
      </w:r>
    </w:p>
    <w:p>
      <w:pPr>
        <w:jc w:val="both"/>
        <w:spacing w:before="100" w:after="100"/>
        <w:ind w:start="360"/>
        <w:ind w:firstLine="360"/>
      </w:pPr>
      <w:r>
        <w:rPr/>
      </w:r>
      <w:r>
        <w:rPr/>
      </w:r>
      <w:r>
        <w:t xml:space="preserve">In the case of a policy insuring the lives of debtors, a provision that the insurer will furnish to the policyholder for delivery to each debtor insured under the policy a certificate of insurance describing the coverage and specifying that the death benefit shall first be applied to reduce or extinguish the indebtedness.</w:t>
      </w:r>
      <w:r>
        <w:t xml:space="preserve">  </w:t>
      </w:r>
      <w:r xmlns:wp="http://schemas.openxmlformats.org/drawingml/2010/wordprocessingDrawing" xmlns:w15="http://schemas.microsoft.com/office/word/2012/wordml">
        <w:rPr>
          <w:rFonts w:ascii="Arial" w:hAnsi="Arial" w:cs="Arial"/>
          <w:sz w:val="22"/>
          <w:szCs w:val="22"/>
        </w:rPr>
        <w:t xml:space="preserve">[PL 1981, c. 150,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 Information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Information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§2624. INFORMATION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