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Suicide</w:t>
      </w:r>
    </w:p>
    <w:p>
      <w:pPr>
        <w:jc w:val="both"/>
        <w:spacing w:before="100" w:after="100"/>
        <w:ind w:start="360"/>
        <w:ind w:firstLine="360"/>
      </w:pPr>
      <w:r>
        <w:rPr/>
      </w:r>
      <w:r>
        <w:rPr/>
      </w:r>
      <w:r>
        <w:t xml:space="preserve">A group life insurance policy delivered or issued for delivery in this State may not contain a more restrictive exclusion from liability for death resulting from suicide than death by suicide, while sane or insane, within 2 years from the date coverage commences or within 2 years of an increase in coverage.</w:t>
      </w:r>
      <w:r>
        <w:t xml:space="preserve">  </w:t>
      </w:r>
      <w:r xmlns:wp="http://schemas.openxmlformats.org/drawingml/2010/wordprocessingDrawing" xmlns:w15="http://schemas.microsoft.com/office/word/2012/wordml">
        <w:rPr>
          <w:rFonts w:ascii="Arial" w:hAnsi="Arial" w:cs="Arial"/>
          <w:sz w:val="22"/>
          <w:szCs w:val="22"/>
        </w:rPr>
        <w:t xml:space="preserve">[PL 2001, c. 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§2630. Suicide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Suicide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§2630. SUICIDE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