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Short title</w:t>
      </w:r>
    </w:p>
    <w:p>
      <w:pPr>
        <w:jc w:val="both"/>
        <w:spacing w:before="100" w:after="100"/>
        <w:ind w:start="360"/>
        <w:ind w:firstLine="360"/>
      </w:pPr>
      <w:r>
        <w:rPr/>
      </w:r>
      <w:r>
        <w:rPr/>
      </w:r>
      <w:r>
        <w:t xml:space="preserve">This chapter may be cited as the "Uniform Health Policy Provision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