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2707-A</w:t>
        <w:t xml:space="preserve">.  </w:t>
      </w:r>
      <w:r>
        <w:rPr>
          <w:b/>
        </w:rPr>
        <w:t xml:space="preserve">Notification prior to cancellation; restrictions on lapse or termination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policy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the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§2 (NEW). PL 2011, c. 123, §2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§2707-A.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§2707-A.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§2707-A. NOTIFICATION PRIOR TO CANCELLATION; RESTRICTIONS ON LAPSE OR TERMINATION DUE TO COGNITIVE IMPAIRMENT OR FUNCTIONAL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