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2742-A</w:t>
        <w:t xml:space="preserve">.  </w:t>
      </w:r>
      <w:r>
        <w:rPr>
          <w:b/>
        </w:rPr>
        <w:t xml:space="preserve">Extension of coverage for dependent children</w:t>
      </w:r>
    </w:p>
    <w:p>
      <w:pPr>
        <w:jc w:val="both"/>
        <w:spacing w:before="100" w:after="100"/>
        <w:ind w:start="360"/>
        <w:ind w:firstLine="360"/>
      </w:pPr>
      <w:r>
        <w:rPr/>
      </w:r>
      <w:r>
        <w:rPr/>
      </w:r>
      <w:r>
        <w:t xml:space="preserve">Notwithstanding </w:t>
      </w:r>
      <w:r>
        <w:t>section 2703, subsection 3</w:t>
      </w:r>
      <w:r>
        <w:t xml:space="preserve">, an individual health insurance policy that provides coverage for a dependent child at certain ages only if the child is a student must continue that coverage if the child is unable to remain enrolled in school on a full-time basis due to a mental or physical illness or an accidental injury. This coverage may be terminated at the age at which coverage for students terminates under the terms of the policy. An insurer may require, as a condition of eligibility for continued coverage in accordance with this section, that the student provide written documentation from a health care provider and the student's school that the student is no longer enrolled in school on a full-time basis due to a mental or physical illness or accidental injury.</w:t>
      </w:r>
      <w:r>
        <w:t xml:space="preserve">  </w:t>
      </w:r>
      <w:r xmlns:wp="http://schemas.openxmlformats.org/drawingml/2010/wordprocessingDrawing" xmlns:w15="http://schemas.microsoft.com/office/word/2012/wordml">
        <w:rPr>
          <w:rFonts w:ascii="Arial" w:hAnsi="Arial" w:cs="Arial"/>
          <w:sz w:val="22"/>
          <w:szCs w:val="22"/>
        </w:rPr>
        <w:t xml:space="preserve">[PL 2005, c. 532,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§2742-A. Extension of coverage for dependent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§2742-A. Extension of coverage for dependent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§2742-A. EXTENSION OF COVERAGE FOR DEPENDENT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