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Standardized claim forms</w:t>
      </w:r>
    </w:p>
    <w:p>
      <w:pPr>
        <w:jc w:val="both"/>
        <w:spacing w:before="100" w:after="100"/>
        <w:ind w:start="360"/>
        <w:ind w:firstLine="360"/>
      </w:pPr>
      <w:r>
        <w:rPr/>
      </w:r>
      <w:r>
        <w:rPr/>
      </w:r>
      <w:r>
        <w:t xml:space="preserve">All insurers providing individual medical expense insurance on an expense-incurred basis providing payment or reimbursement for diagnosis or treatment of a condition or a complaint by a health care practitioner must accept the current standardized claim form for professional services approved by the Federal Government and submitted electronically.  All insurers providing individual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§D10 (NEW). PL 1993, c. 477, §F1 (AFF). PL 2003, c. 218, §6 (AMD). PL 2003, c. 469, §D6 (AMD). PL 2003, c. 469, §D9 (AFF). PL 2005, c. 97, §2 (AMD). PL 2023, c. 521,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§2753.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§2753.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