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nonprofit service organization, health maintenance organization, preferred provider organization or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§5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The information provided to the bureau must include the categories of health care personnel that perform any activities coming under the definition of utilization review and whether or not these individuals are licensed in the State.  The information provided to the bureau also must include copies of any licensure agreements the utilization review entity has in effect with any entity that sells or furnishes the utilization review entity with medical utilization review criteria and the expiration date of any such agreements.  If the utilization review entity develops its own medical utilization review criteria, the utilization review entity shall include copies of any policies and procedures or both for the use of the criteria;</w:t>
      </w:r>
      <w:r>
        <w:t xml:space="preserve">  </w:t>
      </w:r>
      <w:r xmlns:wp="http://schemas.openxmlformats.org/drawingml/2010/wordprocessingDrawing" xmlns:w15="http://schemas.microsoft.com/office/word/2012/wordml">
        <w:rPr>
          <w:rFonts w:ascii="Arial" w:hAnsi="Arial" w:cs="Arial"/>
          <w:sz w:val="22"/>
          <w:szCs w:val="22"/>
        </w:rPr>
        <w:t xml:space="preserve">[PL 1995, c. 332, Pt. M, §6 (AMD).]</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§6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1989, c. 878, §B22 (AMD). PL 1991, c. 200, §A2 (AMD). PL 1993, c. 171, §B1 (AMD). PL 1993, c. 602, §4 (AMD). PL 1995, c. 332, §§M5,6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§2771. Review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Review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§2771. REVIEW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