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health insurance contracts and to blanket health insurance contracts as herein provided.  Nothing in this chapter pertains to legal services insurance as described in </w:t>
      </w:r>
      <w:r>
        <w:t>chapter 38</w:t>
      </w:r>
      <w:r>
        <w:t xml:space="preserve">, except to the extent expressly permitted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§10 (AMD).]</w:t>
      </w:r>
    </w:p>
    <w:p>
      <w:pPr>
        <w:jc w:val="both"/>
        <w:spacing w:before="100" w:after="0"/>
        <w:ind w:start="360"/>
        <w:ind w:firstLine="360"/>
      </w:pPr>
      <w:r>
        <w:rPr>
          <w:b/>
        </w:rPr>
        <w:t>2</w:t>
        <w:t xml:space="preserve">.  </w:t>
      </w:r>
      <w:r>
        <w:rPr>
          <w:b/>
        </w:rPr>
      </w:r>
      <w:r>
        <w:t xml:space="preserve"> </w:t>
      </w:r>
      <w:r>
        <w:t xml:space="preserve">This chapter may be cited as the "Group or Blanket Health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Scope of chapter --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Scope of chapter --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§2801. SCOPE OF CHAPTER --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