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§2804-B. GROUP DISABILITY INCOME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