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group or blanket health insurance policies or plans, which provide coverage on an expense incurred basis for inpatient hospital care, shall make available that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696, §202 (RPR).]</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§249 (COR).]</w:t>
      </w:r>
    </w:p>
    <w:p>
      <w:pPr>
        <w:jc w:val="both"/>
        <w:spacing w:before="100" w:after="100"/>
        <w:ind w:start="360"/>
        <w:ind w:firstLine="360"/>
      </w:pPr>
      <w:r>
        <w:rPr>
          <w:b/>
        </w:rPr>
        <w:t>2</w:t>
        <w:t xml:space="preserve">.  </w:t>
      </w:r>
      <w:r>
        <w:rPr>
          <w:b/>
        </w:rPr>
        <w:t xml:space="preserve">Home health care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 PL 1977, c. 696, §202 (AMD). RR 2021, c. 1, Pt. B, §249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§2837. Home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 Home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 HOME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