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2847-F</w:t>
        <w:t xml:space="preserve">.  </w:t>
      </w:r>
      <w:r>
        <w:rPr>
          <w:b/>
        </w:rPr>
        <w:t xml:space="preserve">Gynecological and obstetrical services</w:t>
      </w:r>
    </w:p>
    <w:p>
      <w:pPr>
        <w:jc w:val="both"/>
        <w:spacing w:before="100" w:after="100"/>
        <w:ind w:start="360"/>
      </w:pPr>
      <w:r>
        <w:rPr>
          <w:b/>
        </w:rPr>
        <w:t>(REALLOCATED FROM TITLE 24-A, SECTION 2850-A)</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group members to select primary care physicians, an insurer that issues group health insurance policies, contracts and certificates must meet the following requirements.</w:t>
      </w:r>
    </w:p>
    <w:p>
      <w:pPr>
        <w:jc w:val="both"/>
        <w:spacing w:before="100" w:after="0"/>
        <w:ind w:start="720"/>
      </w:pPr>
      <w:r>
        <w:rPr/>
        <w:t>A</w:t>
        <w:t xml:space="preserve">.  </w:t>
      </w:r>
      <w:r>
        <w:rPr/>
      </w:r>
      <w:r>
        <w:t xml:space="preserve">The insurer must permit a physician who specializes in obstetrics and gynecology to serve as a primary care physician if the physician qualifies under the insurer's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§H1 (RAL). PL 2003, c. 517, §A9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§2847-F.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§2847-F.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§2847-F.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