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2864</w:t>
        <w:t xml:space="preserve">.  </w:t>
      </w:r>
      <w:r>
        <w:rPr>
          <w:b/>
        </w:rPr>
        <w:t xml:space="preserve">Enforcement</w:t>
      </w:r>
    </w:p>
    <w:p>
      <w:pPr>
        <w:jc w:val="both"/>
        <w:spacing w:before="100" w:after="100"/>
        <w:ind w:start="360"/>
        <w:ind w:firstLine="360"/>
      </w:pPr>
      <w:r>
        <w:rPr/>
      </w:r>
      <w:r>
        <w:rPr/>
      </w:r>
      <w:r>
        <w:t xml:space="preserve">Whenever the superintendent finds that there has been a violation of this chapter or any regulations issued pursuant thereto, and after written notice thereof and hearing given to the insurer or other person authorized or licensed by the superintendent, such hearing to conform to the provisions of </w:t>
      </w:r>
      <w:r>
        <w:t>Title 5, chapter 375, subchapter 4</w:t>
      </w:r>
      <w:r>
        <w:t xml:space="preserve">, the superintendent shall set forth the details of the superintendent's findings together with an order for compliance by a specified date. Such order is binding on the insurer and other person authorized or licensed by the superintendent on the date specified unless sooner withdrawn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§424 (AMD). RR 2021, c. 1, Pt. B, §253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