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Rulemaking</w:t>
      </w:r>
    </w:p>
    <w:p>
      <w:pPr>
        <w:jc w:val="both"/>
        <w:spacing w:before="100" w:after="100"/>
        <w:ind w:start="360"/>
        <w:ind w:firstLine="360"/>
      </w:pPr>
      <w:r>
        <w:rPr/>
      </w:r>
      <w:r>
        <w:rPr/>
      </w:r>
      <w:r>
        <w:t xml:space="preserve">The superintendent may adopt rules establishing specific requirements and procedures for consumer credit insurance policies, certificates of coverage and rates, consistent with the purposes of this chapter.  These rules may specify additional types of consumer credit insurance that may be issued on an individual basis or, pursuant to </w:t>
      </w:r>
      <w:r>
        <w:t>chapter 40‑A</w:t>
      </w:r>
      <w:r>
        <w:t xml:space="preserve">, on a group basis.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§2865.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