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2910-B</w:t>
        <w:t xml:space="preserve">.  </w:t>
      </w:r>
      <w:r>
        <w:rPr>
          <w:b/>
        </w:rPr>
        <w:t xml:space="preserve">Assessment of value of motor vehicle</w:t>
      </w:r>
    </w:p>
    <w:p>
      <w:pPr>
        <w:jc w:val="both"/>
        <w:spacing w:before="100" w:after="100"/>
        <w:ind w:start="360"/>
        <w:ind w:firstLine="360"/>
      </w:pPr>
      <w:r>
        <w:rPr/>
      </w:r>
      <w:r>
        <w:rPr/>
      </w:r>
      <w:r>
        <w:t xml:space="preserve">If an insurer uses the value of a comparable motor vehicle to assess the value of a damaged motor vehicle, the comparable motor vehicle used by the insurer must be in Maine, New Hampshire, Vermont, Massachusetts, Connecticut, Rhode Island or New York and the value of that comparable motor vehicle must be its value in Maine, New Hampshire, Vermont, Massachusetts, Connecticut, Rhode Island or New York to the extent comparable vehicles are available in these states.  An insurer may use a comparable motor vehicle in a state not specified in this section only after determining that comparable motor vehicles are not available in the states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§2910-B. Assessment of value of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§2910-B. Assessment of value of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§2910-B. ASSESSMENT OF VALUE OF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