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Title</w:t>
      </w:r>
    </w:p>
    <w:p>
      <w:pPr>
        <w:jc w:val="both"/>
        <w:spacing w:before="100" w:after="100"/>
        <w:ind w:start="360"/>
        <w:ind w:firstLine="360"/>
      </w:pPr>
      <w:r>
        <w:rPr/>
      </w:r>
      <w:r>
        <w:rPr/>
      </w:r>
      <w:r>
        <w:t xml:space="preserve">This subchapter shall be known as the "Maine Automobile Insurance Cancellation Control Act." 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694, §425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