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3033</w:t>
        <w:t xml:space="preserve">.  </w:t>
      </w:r>
      <w:r>
        <w:rPr>
          <w:b/>
        </w:rPr>
        <w:t xml:space="preserve">Priority of mortgagees</w:t>
      </w:r>
    </w:p>
    <w:p>
      <w:pPr>
        <w:jc w:val="both"/>
        <w:spacing w:before="100" w:after="100"/>
        <w:ind w:start="360"/>
        <w:ind w:firstLine="360"/>
      </w:pPr>
      <w:r>
        <w:rPr/>
      </w:r>
      <w:r>
        <w:rPr/>
      </w:r>
      <w:r>
        <w:t xml:space="preserve">When 2 or more mortgagees claim the benefit of </w:t>
      </w:r>
      <w:r>
        <w:t>sections 3030</w:t>
      </w:r>
      <w:r>
        <w:t xml:space="preserve"> to </w:t>
      </w:r>
      <w:r>
        <w:t>3032</w:t>
      </w:r>
      <w:r>
        <w:t xml:space="preserve">, their rights shall be determined according to the priority of their claims and mortgages by the principles of law.</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§3033. Priority of mortgagees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§3033. Priority of mortgagees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§3033. PRIORITY OF MORTGAGEES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