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3040</w:t>
        <w:t xml:space="preserve">.  </w:t>
      </w:r>
      <w:r>
        <w:rPr>
          <w:b/>
        </w:rPr>
        <w:t xml:space="preserve">Insurance on furniture, owned jointly by husband and wife</w:t>
      </w:r>
    </w:p>
    <w:p>
      <w:pPr>
        <w:jc w:val="both"/>
        <w:spacing w:before="100" w:after="100"/>
        <w:ind w:start="360"/>
        <w:ind w:firstLine="360"/>
      </w:pPr>
      <w:r>
        <w:rPr/>
      </w:r>
      <w:r>
        <w:rPr/>
      </w:r>
      <w:r>
        <w:t xml:space="preserve">Insurance effected by a husband or wife on a dwelling house owned by the insured and on the furniture therein is valid for all the furniture, although part is owned by the husband and part by the wife.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§3040. Insurance on furniture, owned jointly by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§3040. Insurance on furniture, owned jointly by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§3040. INSURANCE ON FURNITURE, OWNED JOINTLY BY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