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Premiums on bonds</w:t>
      </w:r>
    </w:p>
    <w:p>
      <w:pPr>
        <w:jc w:val="both"/>
        <w:spacing w:before="100" w:after="100"/>
        <w:ind w:start="360"/>
        <w:ind w:firstLine="360"/>
      </w:pPr>
      <w:r>
        <w:rPr/>
      </w:r>
      <w:r>
        <w:rPr/>
      </w:r>
      <w:r>
        <w:t xml:space="preserve">Any court or officer whose duty it is to pass upon the account of any person required by law to give a bond may, whenever such person has given any such surety insurer as surety upon the bond, allow in the settlement of such account a reasonable sum for the expense of procuring such surety. The premiums on account of all official bonds required by law to be given by county officials shall be paid from the treasuries of their several counties.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Premiums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Premiums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§3103. PREMIUMS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